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24" w:rsidRDefault="00B47124" w:rsidP="00276142">
      <w:pPr>
        <w:jc w:val="center"/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</w:pPr>
      <w:r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  <w:t>Utilizarea tablei interactive in predare</w:t>
      </w:r>
    </w:p>
    <w:p w:rsidR="00276142" w:rsidRDefault="00B47124" w:rsidP="00276142">
      <w:pPr>
        <w:jc w:val="center"/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</w:pPr>
      <w:r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  <w:t xml:space="preserve"> - parte integranta in folosirea </w:t>
      </w:r>
      <w:r w:rsidR="00276142" w:rsidRPr="003925AC"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  <w:t xml:space="preserve">TIC </w:t>
      </w:r>
      <w:r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  <w:t xml:space="preserve">in procesul </w:t>
      </w:r>
      <w:proofErr w:type="spellStart"/>
      <w:r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  <w:t>educational</w:t>
      </w:r>
      <w:proofErr w:type="spellEnd"/>
    </w:p>
    <w:p w:rsidR="00276142" w:rsidRDefault="00276142" w:rsidP="00276142">
      <w:pPr>
        <w:jc w:val="center"/>
        <w:rPr>
          <w:rFonts w:ascii="Helvetica" w:eastAsia="Times New Roman" w:hAnsi="Helvetica" w:cs="Helvetica"/>
          <w:b/>
          <w:iCs/>
          <w:color w:val="000000"/>
          <w:sz w:val="28"/>
          <w:szCs w:val="28"/>
          <w:lang w:eastAsia="ro-RO"/>
        </w:rPr>
      </w:pPr>
    </w:p>
    <w:p w:rsidR="00276142" w:rsidRDefault="00276142" w:rsidP="00276142">
      <w:pP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Denumire program</w:t>
      </w:r>
      <w: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: </w:t>
      </w:r>
      <w:r w:rsidRPr="00DA276E">
        <w:rPr>
          <w:rFonts w:ascii="Arial Narrow" w:hAnsi="Arial Narrow"/>
          <w:i/>
          <w:u w:val="single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TIC in procesul </w:t>
      </w:r>
      <w:proofErr w:type="spellStart"/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educational</w:t>
      </w:r>
      <w:proofErr w:type="spellEnd"/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 </w:t>
      </w:r>
    </w:p>
    <w:p w:rsidR="00276142" w:rsidRDefault="00276142" w:rsidP="00276142">
      <w:pPr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Durata totală a programului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:</w:t>
      </w:r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r w:rsidRPr="008913C4"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lang w:eastAsia="ro-RO"/>
        </w:rPr>
        <w:t>60 ore</w:t>
      </w:r>
      <w:r>
        <w:rPr>
          <w:rFonts w:ascii="Helvetica" w:eastAsia="Times New Roman" w:hAnsi="Helvetica" w:cs="Helvetica"/>
          <w:b/>
          <w:i/>
          <w:iCs/>
          <w:color w:val="000000"/>
          <w:sz w:val="24"/>
          <w:szCs w:val="24"/>
          <w:lang w:eastAsia="ro-RO"/>
        </w:rPr>
        <w:t xml:space="preserve"> 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 xml:space="preserve"> </w:t>
      </w:r>
    </w:p>
    <w:p w:rsidR="00276142" w:rsidRDefault="00276142" w:rsidP="00276142">
      <w:pPr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Grupul țintă: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 xml:space="preserve"> 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personalul didactic din învățământul preuniversitar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 xml:space="preserve"> </w:t>
      </w:r>
    </w:p>
    <w:p w:rsidR="00276142" w:rsidRPr="00CE0A01" w:rsidRDefault="00276142" w:rsidP="00276142">
      <w:pP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Categoria programului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:Program de</w:t>
      </w:r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Dezvoltare profesională în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concordanţă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cu politicile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şi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strategiile Ministerului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Educaţiei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, Cercetării, Tineretului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şi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Sportului, conform art. 244 alin. (5) lit. e)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şi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f) din Legea nr. 1/2011 </w:t>
      </w:r>
    </w:p>
    <w:p w:rsidR="00276142" w:rsidRDefault="00276142" w:rsidP="00276142">
      <w:pPr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Numărul de credite profesionale transferabile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:15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 xml:space="preserve"> </w:t>
      </w:r>
    </w:p>
    <w:p w:rsidR="00276142" w:rsidRPr="00CE0A01" w:rsidRDefault="00276142" w:rsidP="00276142">
      <w:pPr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Tipuri de competențe dobândite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: </w:t>
      </w:r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a) Dobândirea unor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competenţe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complementare prin care se extinde categoria de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activităţi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ce pot fi prestate în activitatea curentă, cum ar fi: predarea asistată de calculator, predarea în limbi străine, consilierea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educaţională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şi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orientarea în carieră,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educaţia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adulţilor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şi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altele</w:t>
      </w:r>
    </w:p>
    <w:p w:rsidR="00276142" w:rsidRDefault="00276142" w:rsidP="00276142">
      <w:pP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Domeniul tematic in care se </w:t>
      </w:r>
      <w:proofErr w:type="spellStart"/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incadreaza</w:t>
      </w:r>
      <w:proofErr w:type="spellEnd"/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 programul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>:</w:t>
      </w:r>
      <w:r w:rsidRPr="00DA276E">
        <w:rPr>
          <w:rFonts w:ascii="Arial Narrow" w:hAnsi="Arial Narrow"/>
        </w:rPr>
        <w:t xml:space="preserve"> </w:t>
      </w:r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Competențe TIC/digitale</w:t>
      </w:r>
    </w:p>
    <w:p w:rsidR="00276142" w:rsidRPr="00CE0A01" w:rsidRDefault="00276142" w:rsidP="00276142">
      <w:pPr>
        <w:autoSpaceDE w:val="0"/>
        <w:autoSpaceDN w:val="0"/>
        <w:adjustRightInd w:val="0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Scopul Programului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lang w:eastAsia="ro-RO"/>
        </w:rPr>
        <w:t>:</w:t>
      </w:r>
      <w:r w:rsidRPr="00DA276E">
        <w:rPr>
          <w:rFonts w:ascii="Arial Narrow" w:hAnsi="Arial Narrow" w:cs="Arial"/>
          <w:lang w:val="it-IT"/>
        </w:rPr>
        <w:t xml:space="preserve"> </w:t>
      </w:r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Prin acest stagiu de formare, personalul didactic de predare din învățământul preuniversitar va fi </w:t>
      </w:r>
      <w:proofErr w:type="spellStart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pregatit</w:t>
      </w:r>
      <w:proofErr w:type="spellEnd"/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pentru familiarizarea cu noile forme de comunicare cu copilul,</w:t>
      </w:r>
      <w:r w:rsidR="00B471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folosind tabla interactiva cu </w:t>
      </w:r>
      <w:proofErr w:type="spellStart"/>
      <w:r w:rsidR="00B471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functiile</w:t>
      </w:r>
      <w:proofErr w:type="spellEnd"/>
      <w:r w:rsidR="00B471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si softurile adecvate pentru</w:t>
      </w:r>
      <w:r w:rsidRPr="00DA276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realizarea  lucrului in echipa , stimularea dialogului </w:t>
      </w:r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si a </w:t>
      </w:r>
      <w:proofErr w:type="spellStart"/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implicarii</w:t>
      </w:r>
      <w:proofErr w:type="spellEnd"/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copiilor la clasa!</w:t>
      </w:r>
    </w:p>
    <w:p w:rsidR="00276142" w:rsidRPr="00CE0A01" w:rsidRDefault="00276142" w:rsidP="00276142">
      <w:pP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Teme: </w:t>
      </w:r>
      <w:r w:rsidR="00B47124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Folosirea tablei interactive ca parte integranta a:</w:t>
      </w:r>
    </w:p>
    <w:p w:rsidR="00276142" w:rsidRPr="003925AC" w:rsidRDefault="00276142" w:rsidP="0027614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TIC in procesul de predare-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invatare</w:t>
      </w:r>
      <w:proofErr w:type="spellEnd"/>
    </w:p>
    <w:p w:rsidR="00276142" w:rsidRPr="003925AC" w:rsidRDefault="00276142" w:rsidP="0027614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TIC in studiu</w:t>
      </w:r>
    </w:p>
    <w:p w:rsidR="00276142" w:rsidRPr="003925AC" w:rsidRDefault="00276142" w:rsidP="0027614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TIC in 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prcesul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de evaluare</w:t>
      </w:r>
    </w:p>
    <w:p w:rsidR="00276142" w:rsidRPr="003925AC" w:rsidRDefault="00276142" w:rsidP="0027614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Comunicar</w:t>
      </w:r>
      <w:r w:rsidR="00B471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ii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cu ajutorul TIC</w:t>
      </w:r>
    </w:p>
    <w:p w:rsidR="00276142" w:rsidRPr="003925AC" w:rsidRDefault="00276142" w:rsidP="00276142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Utilizar</w:t>
      </w:r>
      <w:r w:rsidR="00B47124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ii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calculatoarelor</w:t>
      </w:r>
      <w:r w:rsidR="00714C0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conectate la videoproiector </w:t>
      </w:r>
    </w:p>
    <w:p w:rsidR="00276142" w:rsidRDefault="00276142" w:rsidP="00276142">
      <w:pPr>
        <w:spacing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 w:rsidRPr="00CE0A01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Evaluarea finală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a programului de formare se realizează prin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susţinerea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în </w:t>
      </w:r>
      <w:proofErr w:type="spellStart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şedinţă</w:t>
      </w:r>
      <w:proofErr w:type="spellEnd"/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publică a unui proiect/teme din portofoliul realizat pe baza cerințelor, in urma dobândirii noilor cunoștințe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.</w:t>
      </w:r>
      <w:r w:rsidRPr="00CE0A0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</w:t>
      </w:r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Portofoliul va consta în întocmirea unei 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prezetari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multimedia (PPT/SLIDESHARE) a unei 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lectii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/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secventa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de 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lectie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, la alegere din programa </w:t>
      </w:r>
      <w:proofErr w:type="spellStart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>scolara</w:t>
      </w:r>
      <w:proofErr w:type="spellEnd"/>
      <w:r w:rsidRPr="003925A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  <w:t xml:space="preserve"> in vigoare.</w:t>
      </w:r>
    </w:p>
    <w:p w:rsidR="00E054AB" w:rsidRDefault="00714C02" w:rsidP="00276142">
      <w:pPr>
        <w:spacing w:line="360" w:lineRule="auto"/>
        <w:jc w:val="both"/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</w:pPr>
      <w:proofErr w:type="spellStart"/>
      <w: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Pretul</w:t>
      </w:r>
      <w:proofErr w:type="spellEnd"/>
      <w: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: </w:t>
      </w:r>
      <w:r w:rsidR="00E054AB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465 lei /</w:t>
      </w:r>
      <w: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participant</w:t>
      </w:r>
      <w:r w:rsidR="00E054AB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.</w:t>
      </w:r>
    </w:p>
    <w:p w:rsidR="00714C02" w:rsidRPr="003925AC" w:rsidRDefault="00E054AB" w:rsidP="00276142">
      <w:pPr>
        <w:spacing w:line="36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o-RO"/>
        </w:rPr>
      </w:pPr>
      <w:r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C</w:t>
      </w:r>
      <w:bookmarkStart w:id="0" w:name="_GoBack"/>
      <w:bookmarkEnd w:id="0"/>
      <w:r w:rsidR="00714C02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ursul se </w:t>
      </w:r>
      <w:proofErr w:type="spellStart"/>
      <w:r w:rsidR="00714C02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desfasoara</w:t>
      </w:r>
      <w:proofErr w:type="spellEnd"/>
      <w:r w:rsidR="00714C02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 xml:space="preserve"> cu minimum 25 de </w:t>
      </w:r>
      <w:proofErr w:type="spellStart"/>
      <w:r w:rsidR="00714C02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participanti</w:t>
      </w:r>
      <w:proofErr w:type="spellEnd"/>
      <w:r w:rsidR="00714C02">
        <w:rPr>
          <w:rFonts w:ascii="Helvetica" w:eastAsia="Times New Roman" w:hAnsi="Helvetica" w:cs="Helvetica"/>
          <w:b/>
          <w:iCs/>
          <w:color w:val="000000"/>
          <w:sz w:val="24"/>
          <w:szCs w:val="24"/>
          <w:lang w:eastAsia="ro-RO"/>
        </w:rPr>
        <w:t>!</w:t>
      </w:r>
    </w:p>
    <w:p w:rsidR="00DC043A" w:rsidRDefault="00DC043A"/>
    <w:sectPr w:rsidR="00DC043A" w:rsidSect="007142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356"/>
    <w:multiLevelType w:val="hybridMultilevel"/>
    <w:tmpl w:val="BB80C3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42"/>
    <w:rsid w:val="00276142"/>
    <w:rsid w:val="007142DF"/>
    <w:rsid w:val="00714C02"/>
    <w:rsid w:val="00B47124"/>
    <w:rsid w:val="00B5055B"/>
    <w:rsid w:val="00D14A2A"/>
    <w:rsid w:val="00DC043A"/>
    <w:rsid w:val="00E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3EFB"/>
  <w15:chartTrackingRefBased/>
  <w15:docId w15:val="{D412C00A-E22B-2347-BEB5-B311DB0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142"/>
    <w:pPr>
      <w:spacing w:after="160" w:line="259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Matte's Way</cp:lastModifiedBy>
  <cp:revision>2</cp:revision>
  <dcterms:created xsi:type="dcterms:W3CDTF">2018-05-29T06:55:00Z</dcterms:created>
  <dcterms:modified xsi:type="dcterms:W3CDTF">2018-05-29T06:55:00Z</dcterms:modified>
</cp:coreProperties>
</file>